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Planning for Jr. High to include 6</w:t>
            </w:r>
            <w:r w:rsidRPr="0051430D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 along with 7</w:t>
            </w:r>
            <w:r w:rsidRPr="0051430D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and 8</w:t>
            </w:r>
            <w:r w:rsidRPr="0051430D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is the main reason for bringing in 6</w:t>
            </w:r>
            <w:r w:rsidRPr="0051430D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 to the Jr. High schedule?</w:t>
            </w:r>
          </w:p>
          <w:p w:rsid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considerations have been given for the impact on students?</w:t>
            </w:r>
          </w:p>
          <w:p w:rsid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considerations have been given to the impact on staff?</w:t>
            </w:r>
          </w:p>
          <w:p w:rsid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benefits are expected from this change?</w:t>
            </w:r>
          </w:p>
          <w:p w:rsidR="00530E0B" w:rsidRPr="00A306AA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If there is no financial benefit to the change, what is the purpose of making the change?</w:t>
            </w:r>
            <w:r w:rsidR="00530E0B" w:rsidRPr="00A306AA">
              <w:rPr>
                <w:sz w:val="20"/>
              </w:rPr>
              <w:t xml:space="preserve"> 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about input from parents and staff concerning this change in structure?</w:t>
            </w:r>
          </w:p>
          <w:p w:rsidR="0051430D" w:rsidRPr="0019795B" w:rsidRDefault="003340E8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Other than scheduling of classes has there been any consideration given to the differences in instructional needs/strategies for a transition from upper elementary to 7-</w:t>
            </w:r>
            <w:proofErr w:type="gramStart"/>
            <w:r>
              <w:rPr>
                <w:sz w:val="20"/>
              </w:rPr>
              <w:t>12 ?</w:t>
            </w:r>
            <w:proofErr w:type="gramEnd"/>
            <w:r w:rsidR="009819BE">
              <w:rPr>
                <w:sz w:val="20"/>
              </w:rPr>
              <w:t xml:space="preserve"> </w:t>
            </w:r>
          </w:p>
          <w:p w:rsidR="0019795B" w:rsidRPr="00A306AA" w:rsidRDefault="0019795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concerns you most about this change?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1430D" w:rsidRP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are some supports that need to be put into place to insure that 6</w:t>
            </w:r>
            <w:r w:rsidRPr="0051430D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 instructional needs are met?</w:t>
            </w:r>
          </w:p>
          <w:p w:rsidR="0051430D" w:rsidRPr="0051430D" w:rsidRDefault="0051430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are some supports that need to be put into place to insure that staff is prepared to meet the instructional needs of the 6</w:t>
            </w:r>
            <w:r w:rsidRPr="0051430D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graders?</w:t>
            </w:r>
          </w:p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19795B">
              <w:rPr>
                <w:sz w:val="20"/>
              </w:rPr>
              <w:t>What can I do to support this change?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4233BB" w:rsidRDefault="004233B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Become involved in the change conversations to insure that all issues with the transition to Jr. High are covered.</w:t>
            </w:r>
          </w:p>
          <w:p w:rsidR="004233BB" w:rsidRPr="004233BB" w:rsidRDefault="004233B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Be involved in conversations concerning assignment of staff; assist with transfer of student information on needs for a smooth transition.</w:t>
            </w:r>
          </w:p>
          <w:p w:rsidR="004233BB" w:rsidRPr="00A306AA" w:rsidRDefault="004233B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Engage in conversations with staff and parents on benefits of change; be open to listen and act on concerns of staff and parents.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4233BB" w:rsidRDefault="004233BB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To make sure that the change is </w:t>
            </w:r>
            <w:proofErr w:type="gramStart"/>
            <w:r>
              <w:rPr>
                <w:sz w:val="20"/>
              </w:rPr>
              <w:t>positive  and</w:t>
            </w:r>
            <w:proofErr w:type="gramEnd"/>
            <w:r>
              <w:rPr>
                <w:sz w:val="20"/>
              </w:rPr>
              <w:t xml:space="preserve"> enhances the success and achievement levels of all students.</w:t>
            </w:r>
          </w:p>
          <w:p w:rsidR="004233BB" w:rsidRDefault="004233BB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To make sure that staff is prepared with strategies, information, and materials to make the change a positive experience for everyone involved.</w:t>
            </w:r>
          </w:p>
          <w:p w:rsidR="00530E0B" w:rsidRPr="00A306AA" w:rsidRDefault="004233BB" w:rsidP="00A306AA">
            <w:pPr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TO make sure that communication remains open and positive for all involved.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4233BB" w:rsidRPr="004233BB" w:rsidRDefault="004233B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To insure that the 5</w:t>
            </w:r>
            <w:r w:rsidRPr="004233BB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graders transferring into 6</w:t>
            </w:r>
            <w:r w:rsidRPr="004233BB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 next year have a smooth transition and a positive experience being included in the Jr. High</w:t>
            </w:r>
          </w:p>
          <w:p w:rsidR="00530E0B" w:rsidRPr="00A306AA" w:rsidRDefault="004233BB" w:rsidP="004233BB">
            <w:pPr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Schedule. 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C85704" w:rsidRDefault="00C85704" w:rsidP="00C85704">
      <w:pPr>
        <w:jc w:val="center"/>
        <w:rPr>
          <w:b/>
          <w:sz w:val="32"/>
          <w:szCs w:val="32"/>
        </w:rPr>
      </w:pPr>
    </w:p>
    <w:p w:rsidR="00C85704" w:rsidRDefault="00C85704" w:rsidP="00C85704">
      <w:pPr>
        <w:jc w:val="center"/>
        <w:rPr>
          <w:b/>
          <w:sz w:val="32"/>
          <w:szCs w:val="32"/>
        </w:rPr>
      </w:pPr>
    </w:p>
    <w:p w:rsidR="00C85704" w:rsidRDefault="00C85704" w:rsidP="00C85704">
      <w:pPr>
        <w:jc w:val="center"/>
        <w:rPr>
          <w:b/>
          <w:sz w:val="32"/>
          <w:szCs w:val="32"/>
        </w:rPr>
      </w:pPr>
    </w:p>
    <w:p w:rsidR="00C85704" w:rsidRPr="008C7B76" w:rsidRDefault="00C85704" w:rsidP="00C85704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C85704" w:rsidRDefault="00C85704" w:rsidP="00C85704">
      <w:pPr>
        <w:jc w:val="center"/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 xml:space="preserve">Name:  Kathy Waite                                                    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>Date:  Dec. 11, 2009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coaching conference itself? The planning process for the conversation forced me to think about the purpose of the conversation and what information I wanted to come from the conversation.  It helped me focus on the “student </w:t>
      </w:r>
      <w:proofErr w:type="gramStart"/>
      <w:r>
        <w:rPr>
          <w:b/>
        </w:rPr>
        <w:t>side ”</w:t>
      </w:r>
      <w:proofErr w:type="gramEnd"/>
      <w:r>
        <w:rPr>
          <w:b/>
        </w:rPr>
        <w:t xml:space="preserve"> of this  change.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 xml:space="preserve">What was most challenging for you during the conversation?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C85704" w:rsidRDefault="00C85704" w:rsidP="00C85704">
      <w:pPr>
        <w:rPr>
          <w:b/>
        </w:rPr>
      </w:pPr>
      <w:proofErr w:type="gramStart"/>
      <w:r>
        <w:rPr>
          <w:b/>
        </w:rPr>
        <w:t>To allow for the wait time for response, and keeping my comments to myself.</w:t>
      </w:r>
      <w:proofErr w:type="gramEnd"/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To have a conversation about an issue that wasn’t a fire needing to be put out right now.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>What might be some things you would do differently/the same in your next conversation?</w:t>
      </w:r>
    </w:p>
    <w:p w:rsidR="00C85704" w:rsidRDefault="00C85704" w:rsidP="00C85704">
      <w:pPr>
        <w:rPr>
          <w:b/>
        </w:rPr>
      </w:pPr>
      <w:r>
        <w:rPr>
          <w:b/>
        </w:rPr>
        <w:t>The same:  Spend the time in planning the question to keep a focus.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 xml:space="preserve">Different:  Use the process with a teacher and focus the conversation on improving classroom instruction.  I think a more fluid topic would make the conversation more enlightening to both </w:t>
      </w:r>
      <w:proofErr w:type="gramStart"/>
      <w:r>
        <w:rPr>
          <w:b/>
        </w:rPr>
        <w:t>myself</w:t>
      </w:r>
      <w:proofErr w:type="gramEnd"/>
      <w:r>
        <w:rPr>
          <w:b/>
        </w:rPr>
        <w:t xml:space="preserve"> and the teacher if it was an on-going event.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  <w:r>
        <w:rPr>
          <w:b/>
        </w:rPr>
        <w:t>What techniques will you specifically address in your next coaching conversation?  Specifically, I would address the ORID key areas and continue to work on providing wait time and open ended questions.</w:t>
      </w: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Default="00C85704" w:rsidP="00C85704">
      <w:pPr>
        <w:rPr>
          <w:b/>
        </w:rPr>
      </w:pPr>
    </w:p>
    <w:p w:rsidR="00C85704" w:rsidRPr="00E32BFA" w:rsidRDefault="00C85704" w:rsidP="00C85704">
      <w:pPr>
        <w:rPr>
          <w:szCs w:val="24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2DA" w:rsidRDefault="004B12DA">
      <w:r>
        <w:separator/>
      </w:r>
    </w:p>
  </w:endnote>
  <w:endnote w:type="continuationSeparator" w:id="0">
    <w:p w:rsidR="004B12DA" w:rsidRDefault="004B1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E8" w:rsidRPr="00DB1D4A" w:rsidRDefault="003340E8" w:rsidP="00DB1D4A">
    <w:pPr>
      <w:pStyle w:val="Footer"/>
      <w:rPr>
        <w:sz w:val="20"/>
      </w:rPr>
    </w:pPr>
    <w:r>
      <w:rPr>
        <w:sz w:val="20"/>
      </w:rPr>
      <w:t xml:space="preserve">Module 4:  Tool 4.4                                                  </w:t>
    </w:r>
    <w:r>
      <w:rPr>
        <w:sz w:val="20"/>
      </w:rPr>
      <w:tab/>
    </w:r>
    <w:r>
      <w:rPr>
        <w:sz w:val="20"/>
      </w:rPr>
      <w:tab/>
      <w:t xml:space="preserve"> ©2007                                            Module 4 </w:t>
    </w:r>
    <w:proofErr w:type="gramStart"/>
    <w:r>
      <w:rPr>
        <w:sz w:val="20"/>
      </w:rPr>
      <w:t xml:space="preserve">Handout  </w:t>
    </w:r>
    <w:proofErr w:type="gramEnd"/>
    <w:r w:rsidR="003775AA"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="003775AA" w:rsidRPr="00DB1D4A">
      <w:rPr>
        <w:rStyle w:val="PageNumber"/>
        <w:sz w:val="20"/>
      </w:rPr>
      <w:fldChar w:fldCharType="separate"/>
    </w:r>
    <w:r w:rsidR="00C85704">
      <w:rPr>
        <w:rStyle w:val="PageNumber"/>
        <w:noProof/>
        <w:sz w:val="20"/>
      </w:rPr>
      <w:t>5</w:t>
    </w:r>
    <w:r w:rsidR="003775AA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2DA" w:rsidRDefault="004B12DA">
      <w:r>
        <w:separator/>
      </w:r>
    </w:p>
  </w:footnote>
  <w:footnote w:type="continuationSeparator" w:id="0">
    <w:p w:rsidR="004B12DA" w:rsidRDefault="004B1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E8" w:rsidRDefault="003340E8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Collaborative Conversation</w:t>
    </w:r>
  </w:p>
  <w:p w:rsidR="003340E8" w:rsidRDefault="003340E8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II:  Evaluation of Administrators</w:t>
    </w:r>
  </w:p>
  <w:p w:rsidR="003340E8" w:rsidRPr="00DB1D4A" w:rsidRDefault="003340E8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characterSpacingControl w:val="doNotCompress"/>
  <w:hdrShapeDefaults>
    <o:shapedefaults v:ext="edit" spidmax="10241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22141"/>
    <w:rsid w:val="00135DCA"/>
    <w:rsid w:val="00143B6C"/>
    <w:rsid w:val="00155697"/>
    <w:rsid w:val="00185DFD"/>
    <w:rsid w:val="0019795B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40E8"/>
    <w:rsid w:val="00335F25"/>
    <w:rsid w:val="003364BC"/>
    <w:rsid w:val="003775AA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233BB"/>
    <w:rsid w:val="0043253C"/>
    <w:rsid w:val="00446745"/>
    <w:rsid w:val="00486BEE"/>
    <w:rsid w:val="00491391"/>
    <w:rsid w:val="00492A3D"/>
    <w:rsid w:val="004A1074"/>
    <w:rsid w:val="004B12DA"/>
    <w:rsid w:val="004B6D57"/>
    <w:rsid w:val="004E41F3"/>
    <w:rsid w:val="004E7841"/>
    <w:rsid w:val="004F3C16"/>
    <w:rsid w:val="004F4E72"/>
    <w:rsid w:val="00500152"/>
    <w:rsid w:val="0050265D"/>
    <w:rsid w:val="005106A6"/>
    <w:rsid w:val="0051430D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E72CD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6EF3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19BE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11F13"/>
    <w:rsid w:val="00C27E3C"/>
    <w:rsid w:val="00C33272"/>
    <w:rsid w:val="00C42F24"/>
    <w:rsid w:val="00C641D7"/>
    <w:rsid w:val="00C665E2"/>
    <w:rsid w:val="00C74A73"/>
    <w:rsid w:val="00C85704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C641D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61F3B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41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Loess Hills</cp:lastModifiedBy>
  <cp:revision>2</cp:revision>
  <cp:lastPrinted>2007-06-04T00:10:00Z</cp:lastPrinted>
  <dcterms:created xsi:type="dcterms:W3CDTF">2009-12-14T18:46:00Z</dcterms:created>
  <dcterms:modified xsi:type="dcterms:W3CDTF">2009-12-14T18:46:00Z</dcterms:modified>
</cp:coreProperties>
</file>